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DF" w:rsidRPr="00EF5976" w:rsidRDefault="00AF7250" w:rsidP="00C40F5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F5976">
        <w:rPr>
          <w:rFonts w:ascii="Times New Roman" w:hAnsi="Times New Roman"/>
          <w:i/>
          <w:sz w:val="24"/>
          <w:szCs w:val="24"/>
        </w:rPr>
        <w:t>Childhood obesity is a widespread epidemic impacting the 12 million children who spend time in early care and education (ECE) settings.</w:t>
      </w:r>
      <w:r w:rsidRPr="00EF5976">
        <w:rPr>
          <w:rFonts w:ascii="Times New Roman" w:hAnsi="Times New Roman"/>
          <w:i/>
          <w:sz w:val="24"/>
          <w:szCs w:val="24"/>
          <w:vertAlign w:val="superscript"/>
        </w:rPr>
        <w:endnoteReference w:id="1"/>
      </w:r>
      <w:r w:rsidRPr="00EF5976">
        <w:rPr>
          <w:rFonts w:ascii="Times New Roman" w:hAnsi="Times New Roman"/>
          <w:i/>
          <w:sz w:val="24"/>
          <w:szCs w:val="24"/>
        </w:rPr>
        <w:t xml:space="preserve">  </w:t>
      </w:r>
      <w:r w:rsidR="00F314DE" w:rsidRPr="00EF5976">
        <w:rPr>
          <w:rFonts w:ascii="Times New Roman" w:hAnsi="Times New Roman"/>
          <w:i/>
          <w:sz w:val="24"/>
          <w:szCs w:val="24"/>
        </w:rPr>
        <w:t xml:space="preserve">Over </w:t>
      </w:r>
      <w:r w:rsidRPr="00EF5976">
        <w:rPr>
          <w:rFonts w:ascii="Times New Roman" w:hAnsi="Times New Roman"/>
          <w:i/>
          <w:sz w:val="24"/>
          <w:szCs w:val="24"/>
        </w:rPr>
        <w:t>a quarter (2</w:t>
      </w:r>
      <w:r w:rsidR="00F314DE" w:rsidRPr="00EF5976">
        <w:rPr>
          <w:rFonts w:ascii="Times New Roman" w:hAnsi="Times New Roman"/>
          <w:i/>
          <w:sz w:val="24"/>
          <w:szCs w:val="24"/>
        </w:rPr>
        <w:t>7</w:t>
      </w:r>
      <w:r w:rsidRPr="00EF5976">
        <w:rPr>
          <w:rFonts w:ascii="Times New Roman" w:hAnsi="Times New Roman"/>
          <w:i/>
          <w:sz w:val="24"/>
          <w:szCs w:val="24"/>
        </w:rPr>
        <w:t xml:space="preserve"> percent) of children </w:t>
      </w:r>
      <w:r w:rsidR="00F314DE" w:rsidRPr="00EF5976">
        <w:rPr>
          <w:rFonts w:ascii="Times New Roman" w:hAnsi="Times New Roman"/>
          <w:i/>
          <w:sz w:val="24"/>
          <w:szCs w:val="24"/>
        </w:rPr>
        <w:t>aged 2-5 years are overweight or obese</w:t>
      </w:r>
      <w:r w:rsidRPr="00EF5976">
        <w:rPr>
          <w:rFonts w:ascii="Times New Roman" w:hAnsi="Times New Roman"/>
          <w:i/>
          <w:sz w:val="24"/>
          <w:szCs w:val="24"/>
        </w:rPr>
        <w:t>.</w:t>
      </w:r>
      <w:r w:rsidRPr="00EF5976">
        <w:rPr>
          <w:rFonts w:ascii="Times New Roman" w:hAnsi="Times New Roman"/>
          <w:i/>
          <w:sz w:val="24"/>
          <w:szCs w:val="24"/>
          <w:vertAlign w:val="superscript"/>
        </w:rPr>
        <w:endnoteReference w:id="2"/>
      </w:r>
      <w:r w:rsidRPr="00EF5976">
        <w:rPr>
          <w:rFonts w:ascii="Times New Roman" w:hAnsi="Times New Roman"/>
          <w:i/>
          <w:sz w:val="24"/>
          <w:szCs w:val="24"/>
        </w:rPr>
        <w:t xml:space="preserve">  Evidence-based research supports the need to provide healthy nutrition and physical activity environments for children at young ages.</w:t>
      </w:r>
      <w:r w:rsidRPr="00EF5976">
        <w:rPr>
          <w:rFonts w:ascii="Times New Roman" w:hAnsi="Times New Roman"/>
          <w:i/>
          <w:sz w:val="24"/>
          <w:szCs w:val="24"/>
          <w:vertAlign w:val="superscript"/>
        </w:rPr>
        <w:endnoteReference w:id="3"/>
      </w:r>
      <w:r w:rsidRPr="00EF5976">
        <w:rPr>
          <w:rFonts w:ascii="Times New Roman" w:hAnsi="Times New Roman"/>
          <w:i/>
          <w:sz w:val="24"/>
          <w:szCs w:val="24"/>
        </w:rPr>
        <w:t xml:space="preserve"> These data demonstrate that </w:t>
      </w:r>
      <w:r w:rsidR="00F612E1" w:rsidRPr="00EF5976">
        <w:rPr>
          <w:rFonts w:ascii="Times New Roman" w:hAnsi="Times New Roman"/>
          <w:i/>
          <w:sz w:val="24"/>
          <w:szCs w:val="24"/>
        </w:rPr>
        <w:t xml:space="preserve">ECE </w:t>
      </w:r>
      <w:r w:rsidR="00C20A03" w:rsidRPr="00EF5976">
        <w:rPr>
          <w:rFonts w:ascii="Times New Roman" w:hAnsi="Times New Roman"/>
          <w:i/>
          <w:sz w:val="24"/>
          <w:szCs w:val="24"/>
        </w:rPr>
        <w:t>settings provide</w:t>
      </w:r>
      <w:r w:rsidR="00F612E1" w:rsidRPr="00EF5976">
        <w:rPr>
          <w:rFonts w:ascii="Times New Roman" w:hAnsi="Times New Roman"/>
          <w:i/>
          <w:sz w:val="24"/>
          <w:szCs w:val="24"/>
        </w:rPr>
        <w:t xml:space="preserve"> an optimal </w:t>
      </w:r>
      <w:r w:rsidR="00C20A03" w:rsidRPr="00EF5976">
        <w:rPr>
          <w:rFonts w:ascii="Times New Roman" w:hAnsi="Times New Roman"/>
          <w:i/>
          <w:sz w:val="24"/>
          <w:szCs w:val="24"/>
        </w:rPr>
        <w:t>place</w:t>
      </w:r>
      <w:r w:rsidR="00F612E1" w:rsidRPr="00EF5976">
        <w:rPr>
          <w:rFonts w:ascii="Times New Roman" w:hAnsi="Times New Roman"/>
          <w:i/>
          <w:sz w:val="24"/>
          <w:szCs w:val="24"/>
        </w:rPr>
        <w:t xml:space="preserve"> of intervention for obesity prevention efforts and the promotion of healthy lifestyles for young children. </w:t>
      </w:r>
    </w:p>
    <w:p w:rsidR="00FE0BDF" w:rsidRPr="00EF5976" w:rsidRDefault="00FE0BDF" w:rsidP="00C40F5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612E1" w:rsidRPr="00EF5976" w:rsidRDefault="0074425A" w:rsidP="00C40F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5976">
        <w:rPr>
          <w:rFonts w:ascii="Times New Roman" w:hAnsi="Times New Roman"/>
          <w:i/>
          <w:color w:val="211D1E"/>
          <w:sz w:val="24"/>
          <w:szCs w:val="24"/>
        </w:rPr>
        <w:t>Nemours is one of the nation’s leading child health organizations, offering pediatric clinical care, research, education,</w:t>
      </w:r>
      <w:r w:rsidR="0029695C" w:rsidRPr="00EF5976">
        <w:rPr>
          <w:rFonts w:ascii="Times New Roman" w:hAnsi="Times New Roman"/>
          <w:i/>
          <w:color w:val="211D1E"/>
          <w:sz w:val="24"/>
          <w:szCs w:val="24"/>
        </w:rPr>
        <w:t xml:space="preserve"> </w:t>
      </w:r>
      <w:r w:rsidRPr="00EF5976">
        <w:rPr>
          <w:rFonts w:ascii="Times New Roman" w:hAnsi="Times New Roman"/>
          <w:i/>
          <w:color w:val="211D1E"/>
          <w:sz w:val="24"/>
          <w:szCs w:val="24"/>
        </w:rPr>
        <w:t>advocacy, and prevention programs in the communities it serves and nationwide. Launched September 30, 2012, the</w:t>
      </w:r>
      <w:r w:rsidR="0029695C" w:rsidRPr="00EF5976">
        <w:rPr>
          <w:rFonts w:ascii="Times New Roman" w:hAnsi="Times New Roman"/>
          <w:i/>
          <w:color w:val="211D1E"/>
          <w:sz w:val="24"/>
          <w:szCs w:val="24"/>
        </w:rPr>
        <w:t xml:space="preserve"> </w:t>
      </w:r>
      <w:r w:rsidRPr="00EF5976">
        <w:rPr>
          <w:rFonts w:ascii="Times New Roman" w:hAnsi="Times New Roman"/>
          <w:i/>
          <w:color w:val="211D1E"/>
          <w:sz w:val="24"/>
          <w:szCs w:val="24"/>
        </w:rPr>
        <w:t>National Early Care and Education Learning Collaboratives (ECELC) Project is a CDC-funded effort, implemented by</w:t>
      </w:r>
      <w:r w:rsidR="0029695C" w:rsidRPr="00EF5976">
        <w:rPr>
          <w:rFonts w:ascii="Times New Roman" w:hAnsi="Times New Roman"/>
          <w:i/>
          <w:color w:val="211D1E"/>
          <w:sz w:val="24"/>
          <w:szCs w:val="24"/>
        </w:rPr>
        <w:t xml:space="preserve"> </w:t>
      </w:r>
      <w:r w:rsidRPr="00EF5976">
        <w:rPr>
          <w:rFonts w:ascii="Times New Roman" w:hAnsi="Times New Roman"/>
          <w:i/>
          <w:color w:val="211D1E"/>
          <w:sz w:val="24"/>
          <w:szCs w:val="24"/>
        </w:rPr>
        <w:t>Nemours and partners. The project supports early care and education</w:t>
      </w:r>
      <w:r w:rsidR="0029695C" w:rsidRPr="00EF5976">
        <w:rPr>
          <w:rFonts w:ascii="Times New Roman" w:hAnsi="Times New Roman"/>
          <w:i/>
          <w:color w:val="211D1E"/>
          <w:sz w:val="24"/>
          <w:szCs w:val="24"/>
        </w:rPr>
        <w:t xml:space="preserve"> </w:t>
      </w:r>
      <w:r w:rsidRPr="00EF5976">
        <w:rPr>
          <w:rFonts w:ascii="Times New Roman" w:hAnsi="Times New Roman"/>
          <w:i/>
          <w:color w:val="211D1E"/>
          <w:sz w:val="24"/>
          <w:szCs w:val="24"/>
        </w:rPr>
        <w:t>(ECE) providers to improve the quality of care they provide to young children with respect to nutrition, physical</w:t>
      </w:r>
      <w:r w:rsidR="0029695C" w:rsidRPr="00EF5976">
        <w:rPr>
          <w:rFonts w:ascii="Times New Roman" w:hAnsi="Times New Roman"/>
          <w:i/>
          <w:color w:val="211D1E"/>
          <w:sz w:val="24"/>
          <w:szCs w:val="24"/>
        </w:rPr>
        <w:t xml:space="preserve"> </w:t>
      </w:r>
      <w:r w:rsidRPr="00EF5976">
        <w:rPr>
          <w:rFonts w:ascii="Times New Roman" w:hAnsi="Times New Roman"/>
          <w:i/>
          <w:color w:val="211D1E"/>
          <w:sz w:val="24"/>
          <w:szCs w:val="24"/>
        </w:rPr>
        <w:t>activity, screen time and breastfeeding support, using a learning collaborative method.</w:t>
      </w:r>
    </w:p>
    <w:p w:rsidR="00F47CBD" w:rsidRPr="00EF5976" w:rsidRDefault="00F47CBD" w:rsidP="00C40F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85A" w:rsidRPr="00EF5976" w:rsidRDefault="004A69BE" w:rsidP="00C40F5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5976">
        <w:rPr>
          <w:rFonts w:ascii="Times New Roman" w:hAnsi="Times New Roman"/>
          <w:b/>
          <w:bCs/>
          <w:sz w:val="24"/>
          <w:szCs w:val="24"/>
        </w:rPr>
        <w:t>Objective</w:t>
      </w:r>
    </w:p>
    <w:p w:rsidR="009F68B4" w:rsidRPr="00EF5976" w:rsidRDefault="0029695C" w:rsidP="00C40F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11D1E"/>
          <w:sz w:val="24"/>
          <w:szCs w:val="24"/>
        </w:rPr>
      </w:pPr>
      <w:r w:rsidRPr="00EF5976">
        <w:rPr>
          <w:rFonts w:ascii="Times New Roman" w:hAnsi="Times New Roman"/>
          <w:b/>
          <w:i/>
          <w:color w:val="211D1E"/>
          <w:sz w:val="24"/>
          <w:szCs w:val="24"/>
        </w:rPr>
        <w:t>T</w:t>
      </w:r>
      <w:r w:rsidR="009F68B4" w:rsidRPr="00EF5976">
        <w:rPr>
          <w:rFonts w:ascii="Times New Roman" w:hAnsi="Times New Roman"/>
          <w:b/>
          <w:i/>
          <w:color w:val="211D1E"/>
          <w:sz w:val="24"/>
          <w:szCs w:val="24"/>
        </w:rPr>
        <w:t>his project aims</w:t>
      </w:r>
      <w:r w:rsidR="009F68B4" w:rsidRPr="00EF5976">
        <w:rPr>
          <w:rFonts w:ascii="Times New Roman" w:hAnsi="Times New Roman"/>
          <w:color w:val="211D1E"/>
          <w:sz w:val="24"/>
          <w:szCs w:val="24"/>
        </w:rPr>
        <w:t xml:space="preserve"> </w:t>
      </w:r>
      <w:r w:rsidR="009F68B4" w:rsidRPr="00EF5976">
        <w:rPr>
          <w:rFonts w:ascii="Times New Roman" w:hAnsi="Times New Roman"/>
          <w:b/>
          <w:i/>
          <w:color w:val="211D1E"/>
          <w:sz w:val="24"/>
          <w:szCs w:val="24"/>
        </w:rPr>
        <w:t>to spread impactful, sustainable policy and practice improvements in ECE programs to prevent</w:t>
      </w:r>
      <w:r w:rsidRPr="00EF5976">
        <w:rPr>
          <w:rFonts w:ascii="Times New Roman" w:hAnsi="Times New Roman"/>
          <w:b/>
          <w:i/>
          <w:color w:val="211D1E"/>
          <w:sz w:val="24"/>
          <w:szCs w:val="24"/>
        </w:rPr>
        <w:t xml:space="preserve"> </w:t>
      </w:r>
      <w:r w:rsidR="009F68B4" w:rsidRPr="00EF5976">
        <w:rPr>
          <w:rFonts w:ascii="Times New Roman" w:hAnsi="Times New Roman"/>
          <w:b/>
          <w:i/>
          <w:color w:val="211D1E"/>
          <w:sz w:val="24"/>
          <w:szCs w:val="24"/>
        </w:rPr>
        <w:t>childhood obesity</w:t>
      </w:r>
      <w:r w:rsidR="00287A32" w:rsidRPr="00EF5976">
        <w:rPr>
          <w:rFonts w:ascii="Times New Roman" w:hAnsi="Times New Roman"/>
          <w:color w:val="211D1E"/>
          <w:sz w:val="24"/>
          <w:szCs w:val="24"/>
        </w:rPr>
        <w:t xml:space="preserve">. Nemours partners </w:t>
      </w:r>
      <w:r w:rsidR="009F68B4" w:rsidRPr="00EF5976">
        <w:rPr>
          <w:rFonts w:ascii="Times New Roman" w:hAnsi="Times New Roman"/>
          <w:color w:val="211D1E"/>
          <w:sz w:val="24"/>
          <w:szCs w:val="24"/>
        </w:rPr>
        <w:t>with key stakeholders at the local, state and national levels to develop</w:t>
      </w:r>
      <w:r w:rsidRPr="00EF5976">
        <w:rPr>
          <w:rFonts w:ascii="Times New Roman" w:hAnsi="Times New Roman"/>
          <w:color w:val="211D1E"/>
          <w:sz w:val="24"/>
          <w:szCs w:val="24"/>
        </w:rPr>
        <w:t xml:space="preserve"> and </w:t>
      </w:r>
      <w:r w:rsidR="009F68B4" w:rsidRPr="00EF5976">
        <w:rPr>
          <w:rFonts w:ascii="Times New Roman" w:hAnsi="Times New Roman"/>
          <w:color w:val="211D1E"/>
          <w:sz w:val="24"/>
          <w:szCs w:val="24"/>
        </w:rPr>
        <w:t>bring a learning collaborative model to achieve critical outcomes centered on (1) increasing</w:t>
      </w:r>
      <w:r w:rsidRPr="00EF5976">
        <w:rPr>
          <w:rFonts w:ascii="Times New Roman" w:hAnsi="Times New Roman"/>
          <w:color w:val="211D1E"/>
          <w:sz w:val="24"/>
          <w:szCs w:val="24"/>
        </w:rPr>
        <w:t xml:space="preserve"> the </w:t>
      </w:r>
      <w:r w:rsidR="009F68B4" w:rsidRPr="00EF5976">
        <w:rPr>
          <w:rFonts w:ascii="Times New Roman" w:hAnsi="Times New Roman"/>
          <w:color w:val="211D1E"/>
          <w:sz w:val="24"/>
          <w:szCs w:val="24"/>
        </w:rPr>
        <w:t xml:space="preserve">number of programs meeting the </w:t>
      </w:r>
      <w:r w:rsidR="009F68B4" w:rsidRPr="00EF5976">
        <w:rPr>
          <w:rFonts w:ascii="Times New Roman" w:hAnsi="Times New Roman"/>
          <w:i/>
          <w:iCs/>
          <w:color w:val="211D1E"/>
          <w:sz w:val="24"/>
          <w:szCs w:val="24"/>
        </w:rPr>
        <w:t xml:space="preserve">Let’s Move! </w:t>
      </w:r>
      <w:r w:rsidR="009F68B4" w:rsidRPr="00EF5976">
        <w:rPr>
          <w:rFonts w:ascii="Times New Roman" w:hAnsi="Times New Roman"/>
          <w:color w:val="211D1E"/>
          <w:sz w:val="24"/>
          <w:szCs w:val="24"/>
        </w:rPr>
        <w:t>Child Care</w:t>
      </w:r>
      <w:r w:rsidR="00AB4847" w:rsidRPr="00EF5976">
        <w:rPr>
          <w:rFonts w:ascii="Times New Roman" w:hAnsi="Times New Roman"/>
          <w:color w:val="211D1E"/>
          <w:sz w:val="24"/>
          <w:szCs w:val="24"/>
        </w:rPr>
        <w:t xml:space="preserve"> (LMCC)</w:t>
      </w:r>
      <w:r w:rsidR="009F68B4" w:rsidRPr="00EF5976">
        <w:rPr>
          <w:rFonts w:ascii="Times New Roman" w:hAnsi="Times New Roman"/>
          <w:color w:val="211D1E"/>
          <w:sz w:val="24"/>
          <w:szCs w:val="24"/>
        </w:rPr>
        <w:t xml:space="preserve"> best practices and </w:t>
      </w:r>
      <w:r w:rsidR="009F68B4" w:rsidRPr="00EF5976">
        <w:rPr>
          <w:rFonts w:ascii="Times New Roman" w:hAnsi="Times New Roman"/>
          <w:i/>
          <w:color w:val="211D1E"/>
          <w:sz w:val="24"/>
          <w:szCs w:val="24"/>
        </w:rPr>
        <w:t>Preventing Childhood Obesity, 2</w:t>
      </w:r>
      <w:r w:rsidR="009F68B4" w:rsidRPr="00EF5976">
        <w:rPr>
          <w:rFonts w:ascii="Times New Roman" w:hAnsi="Times New Roman"/>
          <w:i/>
          <w:color w:val="211D1E"/>
          <w:sz w:val="24"/>
          <w:szCs w:val="24"/>
          <w:vertAlign w:val="superscript"/>
        </w:rPr>
        <w:t>nd</w:t>
      </w:r>
      <w:r w:rsidRPr="00EF5976">
        <w:rPr>
          <w:rFonts w:ascii="Times New Roman" w:hAnsi="Times New Roman"/>
          <w:i/>
          <w:color w:val="211D1E"/>
          <w:sz w:val="24"/>
          <w:szCs w:val="24"/>
        </w:rPr>
        <w:t xml:space="preserve"> edition</w:t>
      </w:r>
      <w:r w:rsidRPr="00EF5976">
        <w:rPr>
          <w:rFonts w:ascii="Times New Roman" w:hAnsi="Times New Roman"/>
          <w:color w:val="211D1E"/>
          <w:sz w:val="24"/>
          <w:szCs w:val="24"/>
        </w:rPr>
        <w:t xml:space="preserve"> </w:t>
      </w:r>
      <w:r w:rsidR="009F68B4" w:rsidRPr="00EF5976">
        <w:rPr>
          <w:rFonts w:ascii="Times New Roman" w:hAnsi="Times New Roman"/>
          <w:color w:val="211D1E"/>
          <w:sz w:val="24"/>
          <w:szCs w:val="24"/>
        </w:rPr>
        <w:t xml:space="preserve">standards, included in </w:t>
      </w:r>
      <w:r w:rsidR="009F68B4" w:rsidRPr="00EF5976">
        <w:rPr>
          <w:rFonts w:ascii="Times New Roman" w:hAnsi="Times New Roman"/>
          <w:i/>
          <w:color w:val="211D1E"/>
          <w:sz w:val="24"/>
          <w:szCs w:val="24"/>
        </w:rPr>
        <w:t>Caring for Our Children: National Health and Safety Performance Standards;</w:t>
      </w:r>
      <w:r w:rsidRPr="00EF5976">
        <w:rPr>
          <w:rFonts w:ascii="Times New Roman" w:hAnsi="Times New Roman"/>
          <w:i/>
          <w:color w:val="211D1E"/>
          <w:sz w:val="24"/>
          <w:szCs w:val="24"/>
        </w:rPr>
        <w:t xml:space="preserve"> Guidelines for </w:t>
      </w:r>
      <w:r w:rsidR="009F68B4" w:rsidRPr="00EF5976">
        <w:rPr>
          <w:rFonts w:ascii="Times New Roman" w:hAnsi="Times New Roman"/>
          <w:i/>
          <w:color w:val="211D1E"/>
          <w:sz w:val="24"/>
          <w:szCs w:val="24"/>
        </w:rPr>
        <w:t>Early Care and Education Programs, 3rd edition</w:t>
      </w:r>
      <w:r w:rsidR="009F68B4" w:rsidRPr="00EF5976">
        <w:rPr>
          <w:rFonts w:ascii="Times New Roman" w:hAnsi="Times New Roman"/>
          <w:color w:val="211D1E"/>
          <w:sz w:val="24"/>
          <w:szCs w:val="24"/>
        </w:rPr>
        <w:t>; and (2) increasing the proportion of young children</w:t>
      </w:r>
      <w:r w:rsidRPr="00EF5976">
        <w:rPr>
          <w:rFonts w:ascii="Times New Roman" w:hAnsi="Times New Roman"/>
          <w:color w:val="211D1E"/>
          <w:sz w:val="24"/>
          <w:szCs w:val="24"/>
        </w:rPr>
        <w:t xml:space="preserve"> attending </w:t>
      </w:r>
      <w:r w:rsidR="009F68B4" w:rsidRPr="00EF5976">
        <w:rPr>
          <w:rFonts w:ascii="Times New Roman" w:hAnsi="Times New Roman"/>
          <w:color w:val="211D1E"/>
          <w:sz w:val="24"/>
          <w:szCs w:val="24"/>
        </w:rPr>
        <w:t>programs that meet those criteria.</w:t>
      </w:r>
      <w:r w:rsidRPr="00EF5976">
        <w:rPr>
          <w:rFonts w:ascii="Times New Roman" w:hAnsi="Times New Roman"/>
          <w:color w:val="211D1E"/>
          <w:sz w:val="24"/>
          <w:szCs w:val="24"/>
        </w:rPr>
        <w:t xml:space="preserve">  </w:t>
      </w:r>
    </w:p>
    <w:p w:rsidR="0029695C" w:rsidRPr="00EF5976" w:rsidRDefault="0029695C" w:rsidP="00C40F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11D1E"/>
          <w:sz w:val="24"/>
          <w:szCs w:val="24"/>
        </w:rPr>
      </w:pPr>
    </w:p>
    <w:p w:rsidR="0021492D" w:rsidRPr="00EF5976" w:rsidRDefault="0021492D" w:rsidP="00C40F5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F5976">
        <w:rPr>
          <w:rFonts w:ascii="Times New Roman" w:hAnsi="Times New Roman"/>
          <w:b/>
          <w:sz w:val="24"/>
          <w:szCs w:val="24"/>
        </w:rPr>
        <w:t>Funding</w:t>
      </w:r>
    </w:p>
    <w:p w:rsidR="0021492D" w:rsidRPr="00EF5976" w:rsidRDefault="0021492D" w:rsidP="00C40F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5976">
        <w:rPr>
          <w:rFonts w:ascii="Times New Roman" w:hAnsi="Times New Roman"/>
          <w:sz w:val="24"/>
          <w:szCs w:val="24"/>
        </w:rPr>
        <w:t xml:space="preserve">The Centers for Disease Control and Prevention is providing funding for this cooperative agreement </w:t>
      </w:r>
      <w:r w:rsidR="00B32DE7" w:rsidRPr="00EF5976">
        <w:rPr>
          <w:rFonts w:ascii="Times New Roman" w:hAnsi="Times New Roman"/>
          <w:i/>
          <w:color w:val="211D1E"/>
          <w:sz w:val="24"/>
          <w:szCs w:val="24"/>
        </w:rPr>
        <w:t xml:space="preserve">(Cooperative Agreement #1U58DP004102) </w:t>
      </w:r>
      <w:r w:rsidRPr="00EF5976">
        <w:rPr>
          <w:rFonts w:ascii="Times New Roman" w:hAnsi="Times New Roman"/>
          <w:sz w:val="24"/>
          <w:szCs w:val="24"/>
        </w:rPr>
        <w:t>with Prevention and Public Health funds. The project period is 5 years (2012-2017)</w:t>
      </w:r>
      <w:r w:rsidR="006F3938" w:rsidRPr="00EF5976">
        <w:rPr>
          <w:rFonts w:ascii="Times New Roman" w:hAnsi="Times New Roman"/>
          <w:sz w:val="24"/>
          <w:szCs w:val="24"/>
        </w:rPr>
        <w:t>;</w:t>
      </w:r>
      <w:r w:rsidRPr="00EF5976">
        <w:rPr>
          <w:rFonts w:ascii="Times New Roman" w:hAnsi="Times New Roman"/>
          <w:sz w:val="24"/>
          <w:szCs w:val="24"/>
        </w:rPr>
        <w:t xml:space="preserve"> first year funding </w:t>
      </w:r>
      <w:r w:rsidR="006F3938" w:rsidRPr="00EF5976">
        <w:rPr>
          <w:rFonts w:ascii="Times New Roman" w:hAnsi="Times New Roman"/>
          <w:sz w:val="24"/>
          <w:szCs w:val="24"/>
        </w:rPr>
        <w:t>totaled</w:t>
      </w:r>
      <w:r w:rsidRPr="00EF5976">
        <w:rPr>
          <w:rFonts w:ascii="Times New Roman" w:hAnsi="Times New Roman"/>
          <w:sz w:val="24"/>
          <w:szCs w:val="24"/>
        </w:rPr>
        <w:t xml:space="preserve"> $4.2 million</w:t>
      </w:r>
      <w:r w:rsidR="00592A1D">
        <w:rPr>
          <w:rFonts w:ascii="Times New Roman" w:hAnsi="Times New Roman"/>
          <w:sz w:val="24"/>
          <w:szCs w:val="24"/>
        </w:rPr>
        <w:t xml:space="preserve">, </w:t>
      </w:r>
      <w:r w:rsidR="00592A1D" w:rsidRPr="00EF5976">
        <w:rPr>
          <w:rFonts w:ascii="Times New Roman" w:hAnsi="Times New Roman"/>
          <w:sz w:val="24"/>
          <w:szCs w:val="24"/>
        </w:rPr>
        <w:t>second</w:t>
      </w:r>
      <w:r w:rsidR="00287A32" w:rsidRPr="00EF5976">
        <w:rPr>
          <w:rFonts w:ascii="Times New Roman" w:hAnsi="Times New Roman"/>
          <w:sz w:val="24"/>
          <w:szCs w:val="24"/>
        </w:rPr>
        <w:t xml:space="preserve"> </w:t>
      </w:r>
      <w:r w:rsidR="00592A1D">
        <w:rPr>
          <w:rFonts w:ascii="Times New Roman" w:hAnsi="Times New Roman"/>
          <w:sz w:val="24"/>
          <w:szCs w:val="24"/>
        </w:rPr>
        <w:t xml:space="preserve">and third </w:t>
      </w:r>
      <w:r w:rsidR="00287A32" w:rsidRPr="00EF5976">
        <w:rPr>
          <w:rFonts w:ascii="Times New Roman" w:hAnsi="Times New Roman"/>
          <w:sz w:val="24"/>
          <w:szCs w:val="24"/>
        </w:rPr>
        <w:t xml:space="preserve">year funding </w:t>
      </w:r>
      <w:r w:rsidR="00592A1D">
        <w:rPr>
          <w:rFonts w:ascii="Times New Roman" w:hAnsi="Times New Roman"/>
          <w:sz w:val="24"/>
          <w:szCs w:val="24"/>
        </w:rPr>
        <w:t>was</w:t>
      </w:r>
      <w:r w:rsidR="00287A32" w:rsidRPr="00EF5976">
        <w:rPr>
          <w:rFonts w:ascii="Times New Roman" w:hAnsi="Times New Roman"/>
          <w:sz w:val="24"/>
          <w:szCs w:val="24"/>
        </w:rPr>
        <w:t xml:space="preserve"> </w:t>
      </w:r>
      <w:r w:rsidR="00CD66F5">
        <w:rPr>
          <w:rFonts w:ascii="Times New Roman" w:hAnsi="Times New Roman"/>
          <w:sz w:val="24"/>
          <w:szCs w:val="24"/>
        </w:rPr>
        <w:t xml:space="preserve">approximately </w:t>
      </w:r>
      <w:r w:rsidR="006F3938" w:rsidRPr="00EF5976">
        <w:rPr>
          <w:rFonts w:ascii="Times New Roman" w:hAnsi="Times New Roman"/>
          <w:sz w:val="24"/>
          <w:szCs w:val="24"/>
        </w:rPr>
        <w:t>$3.7 million</w:t>
      </w:r>
      <w:r w:rsidR="00592A1D">
        <w:rPr>
          <w:rFonts w:ascii="Times New Roman" w:hAnsi="Times New Roman"/>
          <w:sz w:val="24"/>
          <w:szCs w:val="24"/>
        </w:rPr>
        <w:t xml:space="preserve"> </w:t>
      </w:r>
      <w:r w:rsidR="00393C20">
        <w:rPr>
          <w:rFonts w:ascii="Times New Roman" w:hAnsi="Times New Roman"/>
          <w:sz w:val="24"/>
          <w:szCs w:val="24"/>
        </w:rPr>
        <w:t>per year</w:t>
      </w:r>
      <w:r w:rsidR="006F3938" w:rsidRPr="00EF5976">
        <w:rPr>
          <w:rFonts w:ascii="Times New Roman" w:hAnsi="Times New Roman"/>
          <w:sz w:val="24"/>
          <w:szCs w:val="24"/>
        </w:rPr>
        <w:t>.</w:t>
      </w:r>
      <w:r w:rsidR="000A3442" w:rsidRPr="00EF5976" w:rsidDel="000A3442">
        <w:rPr>
          <w:rFonts w:ascii="Times New Roman" w:hAnsi="Times New Roman"/>
          <w:sz w:val="24"/>
          <w:szCs w:val="24"/>
        </w:rPr>
        <w:t xml:space="preserve"> </w:t>
      </w:r>
    </w:p>
    <w:p w:rsidR="0021492D" w:rsidRPr="00EF5976" w:rsidRDefault="0021492D" w:rsidP="00C40F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59E" w:rsidRPr="00EF5976" w:rsidRDefault="000D459E" w:rsidP="00B15B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5976">
        <w:rPr>
          <w:rFonts w:ascii="Times New Roman" w:hAnsi="Times New Roman"/>
          <w:b/>
          <w:bCs/>
          <w:sz w:val="24"/>
          <w:szCs w:val="24"/>
        </w:rPr>
        <w:t>Implementation: How it Works</w:t>
      </w:r>
    </w:p>
    <w:p w:rsidR="000D459E" w:rsidRPr="00EF5976" w:rsidRDefault="000D459E" w:rsidP="000D459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F5976">
        <w:rPr>
          <w:rFonts w:ascii="Times New Roman" w:hAnsi="Times New Roman"/>
          <w:sz w:val="24"/>
          <w:szCs w:val="24"/>
        </w:rPr>
        <w:t xml:space="preserve">Nemours trains </w:t>
      </w:r>
      <w:r>
        <w:rPr>
          <w:rFonts w:ascii="Times New Roman" w:hAnsi="Times New Roman"/>
          <w:sz w:val="24"/>
          <w:szCs w:val="24"/>
        </w:rPr>
        <w:t>p</w:t>
      </w:r>
      <w:r w:rsidRPr="00EF5976">
        <w:rPr>
          <w:rFonts w:ascii="Times New Roman" w:hAnsi="Times New Roman"/>
          <w:sz w:val="24"/>
          <w:szCs w:val="24"/>
        </w:rPr>
        <w:t>artner-ident</w:t>
      </w:r>
      <w:r>
        <w:rPr>
          <w:rFonts w:ascii="Times New Roman" w:hAnsi="Times New Roman"/>
          <w:sz w:val="24"/>
          <w:szCs w:val="24"/>
        </w:rPr>
        <w:t>ified Project Coordinators and T</w:t>
      </w:r>
      <w:r w:rsidRPr="00EF5976">
        <w:rPr>
          <w:rFonts w:ascii="Times New Roman" w:hAnsi="Times New Roman"/>
          <w:sz w:val="24"/>
          <w:szCs w:val="24"/>
        </w:rPr>
        <w:t>rai</w:t>
      </w:r>
      <w:r>
        <w:rPr>
          <w:rFonts w:ascii="Times New Roman" w:hAnsi="Times New Roman"/>
          <w:sz w:val="24"/>
          <w:szCs w:val="24"/>
        </w:rPr>
        <w:t>ners on how to lead Learning C</w:t>
      </w:r>
      <w:r w:rsidRPr="00EF5976">
        <w:rPr>
          <w:rFonts w:ascii="Times New Roman" w:hAnsi="Times New Roman"/>
          <w:sz w:val="24"/>
          <w:szCs w:val="24"/>
        </w:rPr>
        <w:t xml:space="preserve">ollaboratives.  Trainers direct </w:t>
      </w:r>
      <w:r>
        <w:rPr>
          <w:rFonts w:ascii="Times New Roman" w:hAnsi="Times New Roman"/>
          <w:b/>
          <w:i/>
          <w:sz w:val="24"/>
          <w:szCs w:val="24"/>
        </w:rPr>
        <w:t>Learning C</w:t>
      </w:r>
      <w:r w:rsidRPr="00EF5976">
        <w:rPr>
          <w:rFonts w:ascii="Times New Roman" w:hAnsi="Times New Roman"/>
          <w:b/>
          <w:i/>
          <w:sz w:val="24"/>
          <w:szCs w:val="24"/>
        </w:rPr>
        <w:t>ollaboratives in the states, and support ECE providers in implementing positive policy and program changes in nutrition, physical activity, screen time, and breastfeeding support in ECE settings</w:t>
      </w:r>
      <w:r w:rsidRPr="00EF5976">
        <w:rPr>
          <w:rFonts w:ascii="Times New Roman" w:hAnsi="Times New Roman"/>
          <w:sz w:val="24"/>
          <w:szCs w:val="24"/>
        </w:rPr>
        <w:t xml:space="preserve">.  Each </w:t>
      </w:r>
      <w:r>
        <w:rPr>
          <w:rFonts w:ascii="Times New Roman" w:hAnsi="Times New Roman"/>
          <w:sz w:val="24"/>
          <w:szCs w:val="24"/>
        </w:rPr>
        <w:t>Learning C</w:t>
      </w:r>
      <w:r w:rsidRPr="00EF5976">
        <w:rPr>
          <w:rFonts w:ascii="Times New Roman" w:hAnsi="Times New Roman"/>
          <w:sz w:val="24"/>
          <w:szCs w:val="24"/>
        </w:rPr>
        <w:t>ollaborative will consist of:</w:t>
      </w:r>
    </w:p>
    <w:p w:rsidR="000D459E" w:rsidRPr="00EF5976" w:rsidRDefault="000D459E" w:rsidP="000D459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EF5976">
        <w:rPr>
          <w:rFonts w:ascii="Times New Roman" w:hAnsi="Times New Roman"/>
          <w:sz w:val="24"/>
          <w:szCs w:val="24"/>
        </w:rPr>
        <w:t>5 i</w:t>
      </w:r>
      <w:r>
        <w:rPr>
          <w:rFonts w:ascii="Times New Roman" w:hAnsi="Times New Roman"/>
          <w:sz w:val="24"/>
          <w:szCs w:val="24"/>
        </w:rPr>
        <w:t xml:space="preserve">n-person, structured </w:t>
      </w:r>
      <w:r w:rsidR="009422DF">
        <w:rPr>
          <w:rFonts w:ascii="Times New Roman" w:hAnsi="Times New Roman"/>
          <w:sz w:val="24"/>
          <w:szCs w:val="24"/>
        </w:rPr>
        <w:t>Learning Sessions</w:t>
      </w:r>
      <w:r>
        <w:rPr>
          <w:rFonts w:ascii="Times New Roman" w:hAnsi="Times New Roman"/>
          <w:sz w:val="24"/>
          <w:szCs w:val="24"/>
        </w:rPr>
        <w:t xml:space="preserve">, with </w:t>
      </w:r>
      <w:r w:rsidRPr="00EF5976">
        <w:rPr>
          <w:rFonts w:ascii="Times New Roman" w:hAnsi="Times New Roman"/>
          <w:sz w:val="24"/>
          <w:szCs w:val="24"/>
        </w:rPr>
        <w:t xml:space="preserve">3 representatives (e.g. directors, food service personnel, staff, parent partner, etc.) </w:t>
      </w:r>
      <w:r>
        <w:rPr>
          <w:rFonts w:ascii="Times New Roman" w:hAnsi="Times New Roman"/>
          <w:sz w:val="24"/>
          <w:szCs w:val="24"/>
        </w:rPr>
        <w:t xml:space="preserve">attending </w:t>
      </w:r>
      <w:r w:rsidRPr="00EF5976">
        <w:rPr>
          <w:rFonts w:ascii="Times New Roman" w:hAnsi="Times New Roman"/>
          <w:sz w:val="24"/>
          <w:szCs w:val="24"/>
        </w:rPr>
        <w:t>from each participating ECE program;</w:t>
      </w:r>
    </w:p>
    <w:p w:rsidR="000D459E" w:rsidRPr="00EF5976" w:rsidRDefault="000D459E" w:rsidP="000D459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EF5976">
        <w:rPr>
          <w:rFonts w:ascii="Times New Roman" w:hAnsi="Times New Roman"/>
          <w:sz w:val="24"/>
          <w:szCs w:val="24"/>
        </w:rPr>
        <w:lastRenderedPageBreak/>
        <w:t xml:space="preserve">Action period tasks and action planning for ECE program representatives to conduct with all staff back at their program; </w:t>
      </w:r>
    </w:p>
    <w:p w:rsidR="00CD66F5" w:rsidRDefault="000D459E" w:rsidP="00CD66F5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EF5976">
        <w:rPr>
          <w:rFonts w:ascii="Times New Roman" w:hAnsi="Times New Roman"/>
          <w:sz w:val="24"/>
          <w:szCs w:val="24"/>
        </w:rPr>
        <w:t>Ongoing technical assistance and coaching for participating ECE programs;</w:t>
      </w:r>
    </w:p>
    <w:p w:rsidR="000D459E" w:rsidRPr="00CD66F5" w:rsidRDefault="000D459E" w:rsidP="00CD66F5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CD66F5">
        <w:rPr>
          <w:rFonts w:ascii="Times New Roman" w:hAnsi="Times New Roman"/>
          <w:sz w:val="24"/>
          <w:szCs w:val="24"/>
        </w:rPr>
        <w:t>Access to tools, materials, resources and curricula based on LMCC and the</w:t>
      </w:r>
      <w:r w:rsidRPr="00CD66F5">
        <w:rPr>
          <w:rFonts w:ascii="Times New Roman" w:hAnsi="Times New Roman"/>
          <w:i/>
          <w:sz w:val="24"/>
          <w:szCs w:val="24"/>
        </w:rPr>
        <w:t xml:space="preserve"> Preventing Childhood Obesity, 2</w:t>
      </w:r>
      <w:r w:rsidRPr="00CD66F5">
        <w:rPr>
          <w:rFonts w:ascii="Times New Roman" w:hAnsi="Times New Roman"/>
          <w:i/>
          <w:sz w:val="24"/>
          <w:szCs w:val="24"/>
          <w:vertAlign w:val="superscript"/>
        </w:rPr>
        <w:t>nd</w:t>
      </w:r>
      <w:r w:rsidRPr="00CD66F5">
        <w:rPr>
          <w:rFonts w:ascii="Times New Roman" w:hAnsi="Times New Roman"/>
          <w:i/>
          <w:sz w:val="24"/>
          <w:szCs w:val="24"/>
        </w:rPr>
        <w:t xml:space="preserve"> Edition </w:t>
      </w:r>
      <w:r w:rsidRPr="00CD66F5">
        <w:rPr>
          <w:rFonts w:ascii="Times New Roman" w:hAnsi="Times New Roman"/>
          <w:sz w:val="24"/>
          <w:szCs w:val="24"/>
        </w:rPr>
        <w:t>standards.</w:t>
      </w:r>
    </w:p>
    <w:p w:rsidR="000D459E" w:rsidRDefault="000D459E" w:rsidP="000D45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0A03" w:rsidRPr="00EF5976" w:rsidRDefault="00C20A03" w:rsidP="000D45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5976">
        <w:rPr>
          <w:rFonts w:ascii="Times New Roman" w:hAnsi="Times New Roman"/>
          <w:b/>
          <w:sz w:val="24"/>
          <w:szCs w:val="24"/>
        </w:rPr>
        <w:t>Impact</w:t>
      </w:r>
    </w:p>
    <w:p w:rsidR="00F47CBD" w:rsidRPr="00EF5976" w:rsidRDefault="006F3938" w:rsidP="00C40F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5976">
        <w:rPr>
          <w:rFonts w:ascii="Times New Roman" w:hAnsi="Times New Roman"/>
          <w:sz w:val="24"/>
          <w:szCs w:val="24"/>
        </w:rPr>
        <w:t xml:space="preserve">In year one, Nemours launched 27 </w:t>
      </w:r>
      <w:r w:rsidR="00AB4847" w:rsidRPr="00EF5976">
        <w:rPr>
          <w:rFonts w:ascii="Times New Roman" w:hAnsi="Times New Roman"/>
          <w:sz w:val="24"/>
          <w:szCs w:val="24"/>
        </w:rPr>
        <w:t>Learning C</w:t>
      </w:r>
      <w:r w:rsidRPr="00EF5976">
        <w:rPr>
          <w:rFonts w:ascii="Times New Roman" w:hAnsi="Times New Roman"/>
          <w:sz w:val="24"/>
          <w:szCs w:val="24"/>
        </w:rPr>
        <w:t>ollaboratives across 6 states,</w:t>
      </w:r>
      <w:r w:rsidR="00B61176" w:rsidRPr="00EF5976">
        <w:rPr>
          <w:rFonts w:ascii="Times New Roman" w:hAnsi="Times New Roman"/>
          <w:sz w:val="24"/>
          <w:szCs w:val="24"/>
        </w:rPr>
        <w:t xml:space="preserve"> (Arizona, Florida, Indiana, Kansas, Missouri, and New Jersey) </w:t>
      </w:r>
      <w:r w:rsidR="006D109D" w:rsidRPr="00EF5976">
        <w:rPr>
          <w:rFonts w:ascii="Times New Roman" w:hAnsi="Times New Roman"/>
          <w:sz w:val="24"/>
          <w:szCs w:val="24"/>
        </w:rPr>
        <w:t xml:space="preserve">impacting </w:t>
      </w:r>
      <w:r w:rsidR="00C20A03" w:rsidRPr="00EF5976">
        <w:rPr>
          <w:rFonts w:ascii="Times New Roman" w:hAnsi="Times New Roman"/>
          <w:sz w:val="24"/>
          <w:szCs w:val="24"/>
        </w:rPr>
        <w:t xml:space="preserve">obesity prevention efforts in </w:t>
      </w:r>
      <w:r w:rsidR="007D040B" w:rsidRPr="00EF5976">
        <w:rPr>
          <w:rFonts w:ascii="Times New Roman" w:hAnsi="Times New Roman"/>
          <w:sz w:val="24"/>
          <w:szCs w:val="24"/>
        </w:rPr>
        <w:t>nearly</w:t>
      </w:r>
      <w:r w:rsidR="00C20A03" w:rsidRPr="00EF5976">
        <w:rPr>
          <w:rFonts w:ascii="Times New Roman" w:hAnsi="Times New Roman"/>
          <w:sz w:val="24"/>
          <w:szCs w:val="24"/>
        </w:rPr>
        <w:t xml:space="preserve"> </w:t>
      </w:r>
      <w:r w:rsidR="006D109D" w:rsidRPr="00EF5976">
        <w:rPr>
          <w:rFonts w:ascii="Times New Roman" w:hAnsi="Times New Roman"/>
          <w:sz w:val="24"/>
          <w:szCs w:val="24"/>
        </w:rPr>
        <w:t xml:space="preserve">500 </w:t>
      </w:r>
      <w:r w:rsidR="00C20A03" w:rsidRPr="00EF5976">
        <w:rPr>
          <w:rFonts w:ascii="Times New Roman" w:hAnsi="Times New Roman"/>
          <w:sz w:val="24"/>
          <w:szCs w:val="24"/>
        </w:rPr>
        <w:t xml:space="preserve">ECE </w:t>
      </w:r>
      <w:r w:rsidR="006D109D" w:rsidRPr="00EF5976">
        <w:rPr>
          <w:rFonts w:ascii="Times New Roman" w:hAnsi="Times New Roman"/>
          <w:sz w:val="24"/>
          <w:szCs w:val="24"/>
        </w:rPr>
        <w:t>program</w:t>
      </w:r>
      <w:r w:rsidR="00C20A03" w:rsidRPr="00EF5976">
        <w:rPr>
          <w:rFonts w:ascii="Times New Roman" w:hAnsi="Times New Roman"/>
          <w:sz w:val="24"/>
          <w:szCs w:val="24"/>
        </w:rPr>
        <w:t xml:space="preserve">s, serving </w:t>
      </w:r>
      <w:r w:rsidR="00F56754" w:rsidRPr="00EF5976">
        <w:rPr>
          <w:rFonts w:ascii="Times New Roman" w:hAnsi="Times New Roman"/>
          <w:sz w:val="24"/>
          <w:szCs w:val="24"/>
        </w:rPr>
        <w:t>over</w:t>
      </w:r>
      <w:r w:rsidR="006D109D" w:rsidRPr="00EF5976">
        <w:rPr>
          <w:rFonts w:ascii="Times New Roman" w:hAnsi="Times New Roman"/>
          <w:sz w:val="24"/>
          <w:szCs w:val="24"/>
        </w:rPr>
        <w:t xml:space="preserve"> </w:t>
      </w:r>
      <w:r w:rsidR="007D040B" w:rsidRPr="00EF5976">
        <w:rPr>
          <w:rFonts w:ascii="Times New Roman" w:hAnsi="Times New Roman"/>
          <w:sz w:val="24"/>
          <w:szCs w:val="24"/>
        </w:rPr>
        <w:t>52</w:t>
      </w:r>
      <w:r w:rsidRPr="00EF5976">
        <w:rPr>
          <w:rFonts w:ascii="Times New Roman" w:hAnsi="Times New Roman"/>
          <w:sz w:val="24"/>
          <w:szCs w:val="24"/>
        </w:rPr>
        <w:t>,000</w:t>
      </w:r>
      <w:r w:rsidR="00C20A03" w:rsidRPr="00EF5976">
        <w:rPr>
          <w:rFonts w:ascii="Times New Roman" w:hAnsi="Times New Roman"/>
          <w:sz w:val="24"/>
          <w:szCs w:val="24"/>
        </w:rPr>
        <w:t xml:space="preserve"> children</w:t>
      </w:r>
      <w:r w:rsidRPr="00EF5976">
        <w:rPr>
          <w:rFonts w:ascii="Times New Roman" w:hAnsi="Times New Roman"/>
          <w:sz w:val="24"/>
          <w:szCs w:val="24"/>
        </w:rPr>
        <w:t>.</w:t>
      </w:r>
      <w:r w:rsidR="00F274F4" w:rsidRPr="00EF5976">
        <w:rPr>
          <w:rFonts w:ascii="Times New Roman" w:hAnsi="Times New Roman"/>
          <w:sz w:val="24"/>
          <w:szCs w:val="24"/>
        </w:rPr>
        <w:t xml:space="preserve">  </w:t>
      </w:r>
      <w:r w:rsidRPr="00EF5976">
        <w:rPr>
          <w:rFonts w:ascii="Times New Roman" w:hAnsi="Times New Roman"/>
          <w:sz w:val="24"/>
          <w:szCs w:val="24"/>
        </w:rPr>
        <w:t xml:space="preserve">In year two, </w:t>
      </w:r>
      <w:r w:rsidR="006D109D" w:rsidRPr="00EF5976">
        <w:rPr>
          <w:rFonts w:ascii="Times New Roman" w:hAnsi="Times New Roman"/>
          <w:sz w:val="24"/>
          <w:szCs w:val="24"/>
        </w:rPr>
        <w:t xml:space="preserve">Nemours </w:t>
      </w:r>
      <w:r w:rsidR="00AB4847" w:rsidRPr="00EF5976">
        <w:rPr>
          <w:rFonts w:ascii="Times New Roman" w:hAnsi="Times New Roman"/>
          <w:sz w:val="24"/>
          <w:szCs w:val="24"/>
        </w:rPr>
        <w:t>added 9 Learning Collaboratives across 3 additional states (California</w:t>
      </w:r>
      <w:r w:rsidR="00393C20">
        <w:rPr>
          <w:rFonts w:ascii="Times New Roman" w:hAnsi="Times New Roman"/>
          <w:sz w:val="24"/>
          <w:szCs w:val="24"/>
        </w:rPr>
        <w:t xml:space="preserve"> (Los Angeles)</w:t>
      </w:r>
      <w:r w:rsidR="00AB4847" w:rsidRPr="00EF5976">
        <w:rPr>
          <w:rFonts w:ascii="Times New Roman" w:hAnsi="Times New Roman"/>
          <w:sz w:val="24"/>
          <w:szCs w:val="24"/>
        </w:rPr>
        <w:t xml:space="preserve">; Kentucky, and Virginia) serving over 230 programs and an additional 22,000 children.  </w:t>
      </w:r>
      <w:r w:rsidR="00697D79" w:rsidRPr="00EF5976">
        <w:rPr>
          <w:rFonts w:ascii="Times New Roman" w:hAnsi="Times New Roman"/>
          <w:sz w:val="24"/>
          <w:szCs w:val="24"/>
        </w:rPr>
        <w:t xml:space="preserve">7 out of 10 </w:t>
      </w:r>
      <w:r w:rsidR="000D459E">
        <w:rPr>
          <w:rFonts w:ascii="Times New Roman" w:hAnsi="Times New Roman"/>
          <w:sz w:val="24"/>
          <w:szCs w:val="24"/>
        </w:rPr>
        <w:t xml:space="preserve">National ECELC </w:t>
      </w:r>
      <w:r w:rsidR="00697D79" w:rsidRPr="00EF5976">
        <w:rPr>
          <w:rFonts w:ascii="Times New Roman" w:hAnsi="Times New Roman"/>
          <w:sz w:val="24"/>
          <w:szCs w:val="24"/>
        </w:rPr>
        <w:t xml:space="preserve">programs </w:t>
      </w:r>
      <w:r w:rsidR="000D459E">
        <w:rPr>
          <w:rFonts w:ascii="Times New Roman" w:hAnsi="Times New Roman"/>
          <w:sz w:val="24"/>
          <w:szCs w:val="24"/>
        </w:rPr>
        <w:t xml:space="preserve">also </w:t>
      </w:r>
      <w:r w:rsidR="00697D79" w:rsidRPr="00EF5976">
        <w:rPr>
          <w:rFonts w:ascii="Times New Roman" w:hAnsi="Times New Roman"/>
          <w:sz w:val="24"/>
          <w:szCs w:val="24"/>
        </w:rPr>
        <w:t>participat</w:t>
      </w:r>
      <w:r w:rsidR="000D459E">
        <w:rPr>
          <w:rFonts w:ascii="Times New Roman" w:hAnsi="Times New Roman"/>
          <w:sz w:val="24"/>
          <w:szCs w:val="24"/>
        </w:rPr>
        <w:t>e</w:t>
      </w:r>
      <w:r w:rsidR="00697D79" w:rsidRPr="00EF5976">
        <w:rPr>
          <w:rFonts w:ascii="Times New Roman" w:hAnsi="Times New Roman"/>
          <w:sz w:val="24"/>
          <w:szCs w:val="24"/>
        </w:rPr>
        <w:t xml:space="preserve"> in </w:t>
      </w:r>
      <w:r w:rsidR="000D459E" w:rsidRPr="00EF5976">
        <w:rPr>
          <w:rFonts w:ascii="Times New Roman" w:hAnsi="Times New Roman"/>
          <w:sz w:val="24"/>
          <w:szCs w:val="24"/>
        </w:rPr>
        <w:t>Child and A</w:t>
      </w:r>
      <w:r w:rsidR="000D459E">
        <w:rPr>
          <w:rFonts w:ascii="Times New Roman" w:hAnsi="Times New Roman"/>
          <w:sz w:val="24"/>
          <w:szCs w:val="24"/>
        </w:rPr>
        <w:t>dult Care Food Program (CACFP) serving</w:t>
      </w:r>
      <w:r w:rsidR="00592A1D" w:rsidRPr="00EF5976">
        <w:rPr>
          <w:rFonts w:ascii="Times New Roman" w:hAnsi="Times New Roman"/>
          <w:sz w:val="24"/>
          <w:szCs w:val="24"/>
        </w:rPr>
        <w:t xml:space="preserve"> children most in need</w:t>
      </w:r>
      <w:r w:rsidR="00697D79" w:rsidRPr="00EF5976">
        <w:rPr>
          <w:rFonts w:ascii="Times New Roman" w:hAnsi="Times New Roman"/>
          <w:sz w:val="24"/>
          <w:szCs w:val="24"/>
        </w:rPr>
        <w:t xml:space="preserve">.  </w:t>
      </w:r>
      <w:r w:rsidR="00CD66F5">
        <w:rPr>
          <w:rFonts w:ascii="Times New Roman" w:hAnsi="Times New Roman"/>
          <w:sz w:val="24"/>
          <w:szCs w:val="24"/>
        </w:rPr>
        <w:t xml:space="preserve">By the third year of the ECELC, </w:t>
      </w:r>
      <w:r w:rsidR="00CD66F5" w:rsidRPr="00EF5976">
        <w:rPr>
          <w:rFonts w:ascii="Times New Roman" w:hAnsi="Times New Roman"/>
          <w:sz w:val="24"/>
          <w:szCs w:val="24"/>
        </w:rPr>
        <w:t>Nemours add</w:t>
      </w:r>
      <w:r w:rsidR="00CD66F5">
        <w:rPr>
          <w:rFonts w:ascii="Times New Roman" w:hAnsi="Times New Roman"/>
          <w:sz w:val="24"/>
          <w:szCs w:val="24"/>
        </w:rPr>
        <w:t>ed an</w:t>
      </w:r>
      <w:r w:rsidR="00CD66F5" w:rsidRPr="00EF5976">
        <w:rPr>
          <w:rFonts w:ascii="Times New Roman" w:hAnsi="Times New Roman"/>
          <w:sz w:val="24"/>
          <w:szCs w:val="24"/>
        </w:rPr>
        <w:t xml:space="preserve"> additional 2</w:t>
      </w:r>
      <w:r w:rsidR="00E67081">
        <w:rPr>
          <w:rFonts w:ascii="Times New Roman" w:hAnsi="Times New Roman"/>
          <w:sz w:val="24"/>
          <w:szCs w:val="24"/>
        </w:rPr>
        <w:t>9</w:t>
      </w:r>
      <w:r w:rsidR="00CD66F5" w:rsidRPr="00EF5976">
        <w:rPr>
          <w:rFonts w:ascii="Times New Roman" w:hAnsi="Times New Roman"/>
          <w:sz w:val="24"/>
          <w:szCs w:val="24"/>
        </w:rPr>
        <w:t xml:space="preserve"> Learning Collaboratives </w:t>
      </w:r>
      <w:r w:rsidR="00E67081">
        <w:rPr>
          <w:rFonts w:ascii="Times New Roman" w:hAnsi="Times New Roman"/>
          <w:sz w:val="24"/>
          <w:szCs w:val="24"/>
        </w:rPr>
        <w:t>across these nine states</w:t>
      </w:r>
      <w:r w:rsidRPr="00EF5976">
        <w:rPr>
          <w:rFonts w:ascii="Times New Roman" w:hAnsi="Times New Roman"/>
          <w:sz w:val="24"/>
          <w:szCs w:val="24"/>
        </w:rPr>
        <w:t>.</w:t>
      </w:r>
      <w:r w:rsidR="00E67081">
        <w:rPr>
          <w:rFonts w:ascii="Times New Roman" w:hAnsi="Times New Roman"/>
          <w:sz w:val="24"/>
          <w:szCs w:val="24"/>
        </w:rPr>
        <w:t xml:space="preserve">  Nemours continues to explore the potential for spreading the ECELC model to new states and communities.  </w:t>
      </w:r>
      <w:r w:rsidRPr="00EF5976">
        <w:rPr>
          <w:rFonts w:ascii="Times New Roman" w:hAnsi="Times New Roman"/>
          <w:sz w:val="24"/>
          <w:szCs w:val="24"/>
        </w:rPr>
        <w:t xml:space="preserve"> </w:t>
      </w:r>
    </w:p>
    <w:p w:rsidR="002C6D87" w:rsidRPr="00EF5976" w:rsidRDefault="002C6D87" w:rsidP="00C40F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0C1F" w:rsidRPr="00EF5976" w:rsidRDefault="00A20C1F" w:rsidP="00C40F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5976">
        <w:rPr>
          <w:rFonts w:ascii="Times New Roman" w:hAnsi="Times New Roman"/>
          <w:bCs/>
          <w:sz w:val="24"/>
          <w:szCs w:val="24"/>
        </w:rPr>
        <w:t xml:space="preserve">Nemours and its partners </w:t>
      </w:r>
      <w:r w:rsidR="006967A9" w:rsidRPr="00EF5976">
        <w:rPr>
          <w:rFonts w:ascii="Times New Roman" w:hAnsi="Times New Roman"/>
          <w:sz w:val="24"/>
          <w:szCs w:val="24"/>
        </w:rPr>
        <w:t>pr</w:t>
      </w:r>
      <w:r w:rsidRPr="00EF5976">
        <w:rPr>
          <w:rFonts w:ascii="Times New Roman" w:hAnsi="Times New Roman"/>
          <w:sz w:val="24"/>
          <w:szCs w:val="24"/>
        </w:rPr>
        <w:t xml:space="preserve">ovide targeted support to </w:t>
      </w:r>
      <w:r w:rsidR="007D040B" w:rsidRPr="00EF5976">
        <w:rPr>
          <w:rFonts w:ascii="Times New Roman" w:hAnsi="Times New Roman"/>
          <w:sz w:val="24"/>
          <w:szCs w:val="24"/>
        </w:rPr>
        <w:t>Learning Collaboratives</w:t>
      </w:r>
      <w:r w:rsidRPr="00EF5976">
        <w:rPr>
          <w:rFonts w:ascii="Times New Roman" w:hAnsi="Times New Roman"/>
          <w:sz w:val="24"/>
          <w:szCs w:val="24"/>
        </w:rPr>
        <w:t xml:space="preserve"> and participating </w:t>
      </w:r>
      <w:r w:rsidR="009422DF">
        <w:rPr>
          <w:rFonts w:ascii="Times New Roman" w:hAnsi="Times New Roman"/>
          <w:sz w:val="24"/>
          <w:szCs w:val="24"/>
        </w:rPr>
        <w:t xml:space="preserve">ECE </w:t>
      </w:r>
      <w:r w:rsidRPr="00EF5976">
        <w:rPr>
          <w:rFonts w:ascii="Times New Roman" w:hAnsi="Times New Roman"/>
          <w:sz w:val="24"/>
          <w:szCs w:val="24"/>
        </w:rPr>
        <w:t>programs</w:t>
      </w:r>
      <w:r w:rsidR="007D040B" w:rsidRPr="00EF5976">
        <w:rPr>
          <w:rFonts w:ascii="Times New Roman" w:hAnsi="Times New Roman"/>
          <w:sz w:val="24"/>
          <w:szCs w:val="24"/>
        </w:rPr>
        <w:t>, and encourage</w:t>
      </w:r>
      <w:r w:rsidRPr="00EF5976">
        <w:rPr>
          <w:rFonts w:ascii="Times New Roman" w:hAnsi="Times New Roman"/>
          <w:sz w:val="24"/>
          <w:szCs w:val="24"/>
        </w:rPr>
        <w:t xml:space="preserve"> integration of best practices and standards within state ECE systems to promote additional spread and sustainability.</w:t>
      </w:r>
    </w:p>
    <w:p w:rsidR="00A20C1F" w:rsidRPr="00EF5976" w:rsidRDefault="00A20C1F" w:rsidP="00C40F5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612E1" w:rsidRPr="00EF5976" w:rsidRDefault="00097187" w:rsidP="00C40F5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F5976">
        <w:rPr>
          <w:rFonts w:ascii="Times New Roman" w:hAnsi="Times New Roman"/>
          <w:b/>
          <w:i/>
          <w:sz w:val="24"/>
          <w:szCs w:val="24"/>
        </w:rPr>
        <w:t xml:space="preserve">For more information, e-mail </w:t>
      </w:r>
      <w:r w:rsidR="009407BA" w:rsidRPr="00EF5976">
        <w:rPr>
          <w:rFonts w:ascii="Times New Roman" w:hAnsi="Times New Roman"/>
          <w:b/>
          <w:i/>
          <w:sz w:val="24"/>
          <w:szCs w:val="24"/>
        </w:rPr>
        <w:t>Julie Shuell</w:t>
      </w:r>
      <w:r w:rsidR="00E81081" w:rsidRPr="00EF5976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EF5976">
        <w:rPr>
          <w:rFonts w:ascii="Times New Roman" w:hAnsi="Times New Roman"/>
          <w:b/>
          <w:i/>
          <w:sz w:val="24"/>
          <w:szCs w:val="24"/>
        </w:rPr>
        <w:t xml:space="preserve">Nemours, at </w:t>
      </w:r>
      <w:hyperlink r:id="rId8" w:history="1">
        <w:r w:rsidR="009407BA" w:rsidRPr="00EF5976">
          <w:rPr>
            <w:rStyle w:val="Hyperlink"/>
            <w:rFonts w:ascii="Times New Roman" w:hAnsi="Times New Roman"/>
            <w:b/>
            <w:i/>
            <w:sz w:val="24"/>
            <w:szCs w:val="24"/>
          </w:rPr>
          <w:t>julie.shuell@nemours.org</w:t>
        </w:r>
      </w:hyperlink>
      <w:r w:rsidRPr="00EF5976">
        <w:rPr>
          <w:rFonts w:ascii="Times New Roman" w:hAnsi="Times New Roman"/>
          <w:b/>
          <w:i/>
          <w:sz w:val="24"/>
          <w:szCs w:val="24"/>
        </w:rPr>
        <w:t>.</w:t>
      </w:r>
    </w:p>
    <w:p w:rsidR="00FE0BDF" w:rsidRPr="00EF5976" w:rsidRDefault="00FE0BDF" w:rsidP="00C40F5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E0BDF" w:rsidRPr="00EF5976" w:rsidRDefault="00FE0BDF" w:rsidP="00C40F5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FE0BDF" w:rsidRPr="00EF5976" w:rsidSect="00FE0BDF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6F5" w:rsidRDefault="00CD66F5" w:rsidP="008D7C07">
      <w:pPr>
        <w:spacing w:after="0" w:line="240" w:lineRule="auto"/>
      </w:pPr>
      <w:r>
        <w:separator/>
      </w:r>
    </w:p>
  </w:endnote>
  <w:endnote w:type="continuationSeparator" w:id="0">
    <w:p w:rsidR="00CD66F5" w:rsidRDefault="00CD66F5" w:rsidP="008D7C07">
      <w:pPr>
        <w:spacing w:after="0" w:line="240" w:lineRule="auto"/>
      </w:pPr>
      <w:r>
        <w:continuationSeparator/>
      </w:r>
    </w:p>
  </w:endnote>
  <w:endnote w:id="1">
    <w:p w:rsidR="00CD66F5" w:rsidRPr="00826FE3" w:rsidRDefault="00CD66F5" w:rsidP="00AF7250">
      <w:pPr>
        <w:pStyle w:val="EndnoteText"/>
        <w:rPr>
          <w:sz w:val="18"/>
          <w:szCs w:val="18"/>
        </w:rPr>
      </w:pPr>
      <w:r w:rsidRPr="00826FE3">
        <w:rPr>
          <w:rStyle w:val="EndnoteReference"/>
          <w:sz w:val="18"/>
          <w:szCs w:val="18"/>
        </w:rPr>
        <w:endnoteRef/>
      </w:r>
      <w:r w:rsidRPr="00826FE3">
        <w:rPr>
          <w:sz w:val="18"/>
          <w:szCs w:val="18"/>
        </w:rPr>
        <w:t xml:space="preserve"> National Association of Child Care Resource and Referral Agencies.  Retrieved March 8, 2010 from http://highqualitychildcare.org/Naccrra_main/alert-description.html?alert_id=15204232.</w:t>
      </w:r>
    </w:p>
  </w:endnote>
  <w:endnote w:id="2">
    <w:p w:rsidR="00CD66F5" w:rsidRPr="00826FE3" w:rsidRDefault="00CD66F5" w:rsidP="00AF7250">
      <w:pPr>
        <w:pStyle w:val="EndnoteText"/>
        <w:rPr>
          <w:sz w:val="18"/>
          <w:szCs w:val="18"/>
        </w:rPr>
      </w:pPr>
      <w:r w:rsidRPr="00826FE3">
        <w:rPr>
          <w:rStyle w:val="EndnoteReference"/>
          <w:sz w:val="18"/>
          <w:szCs w:val="18"/>
        </w:rPr>
        <w:endnoteRef/>
      </w:r>
      <w:r w:rsidRPr="00826FE3">
        <w:rPr>
          <w:sz w:val="18"/>
          <w:szCs w:val="18"/>
        </w:rPr>
        <w:t xml:space="preserve"> As measured by Body Mass Index (BMI) of equal to or greater than the 85</w:t>
      </w:r>
      <w:r w:rsidRPr="00826FE3">
        <w:rPr>
          <w:sz w:val="18"/>
          <w:szCs w:val="18"/>
          <w:vertAlign w:val="superscript"/>
        </w:rPr>
        <w:t>th</w:t>
      </w:r>
      <w:r w:rsidRPr="00826FE3">
        <w:rPr>
          <w:sz w:val="18"/>
          <w:szCs w:val="18"/>
        </w:rPr>
        <w:t xml:space="preserve"> percentile for age.  Ogden, CL, Carroll, MD, Flegal, KM.  Prevalence of Obesity Among US Children and Adolescents.  JAMA 2012; 307 (5):</w:t>
      </w:r>
    </w:p>
  </w:endnote>
  <w:endnote w:id="3">
    <w:p w:rsidR="00CD66F5" w:rsidRPr="0031020F" w:rsidRDefault="00CD66F5" w:rsidP="00AF7250">
      <w:pPr>
        <w:pStyle w:val="EndnoteText"/>
        <w:rPr>
          <w:rFonts w:ascii="Arial Narrow" w:hAnsi="Arial Narrow"/>
          <w:sz w:val="18"/>
          <w:szCs w:val="18"/>
        </w:rPr>
      </w:pPr>
      <w:r w:rsidRPr="00826FE3">
        <w:rPr>
          <w:rStyle w:val="EndnoteReference"/>
          <w:sz w:val="18"/>
          <w:szCs w:val="18"/>
        </w:rPr>
        <w:endnoteRef/>
      </w:r>
      <w:r w:rsidRPr="00826FE3">
        <w:rPr>
          <w:sz w:val="18"/>
          <w:szCs w:val="18"/>
        </w:rPr>
        <w:t xml:space="preserve"> Committee on Obesity Prevention Policies for Young Children, Institute of Medicine. "Front Matter." Early Childhood Obesity Prevention Policies. Washington, DC: The National Academies Press, 2011.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F5" w:rsidRPr="000D459E" w:rsidRDefault="00CD66F5" w:rsidP="000D459E">
    <w:pPr>
      <w:pStyle w:val="Footer"/>
      <w:jc w:val="center"/>
      <w:rPr>
        <w:rFonts w:ascii="Arial Narrow" w:hAnsi="Arial Narrow"/>
        <w:b/>
        <w:color w:val="FF0000"/>
        <w:sz w:val="32"/>
        <w:szCs w:val="3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F5" w:rsidRDefault="00CD66F5" w:rsidP="00F612E1">
    <w:pPr>
      <w:pStyle w:val="Footer"/>
      <w:jc w:val="center"/>
    </w:pPr>
    <w:r>
      <w:t xml:space="preserve">        </w:t>
    </w:r>
  </w:p>
  <w:p w:rsidR="00CD66F5" w:rsidRPr="007C7CB0" w:rsidRDefault="00CD66F5" w:rsidP="00F612E1">
    <w:pPr>
      <w:pStyle w:val="Footer"/>
      <w:jc w:val="center"/>
      <w:rPr>
        <w:sz w:val="18"/>
        <w:szCs w:val="18"/>
      </w:rPr>
    </w:pPr>
  </w:p>
  <w:p w:rsidR="00CD66F5" w:rsidRPr="007C7CB0" w:rsidRDefault="00CD66F5" w:rsidP="00EF5976">
    <w:pPr>
      <w:pStyle w:val="Footer"/>
      <w:jc w:val="center"/>
      <w:rPr>
        <w:i/>
        <w:sz w:val="18"/>
        <w:szCs w:val="18"/>
      </w:rPr>
    </w:pPr>
    <w:r>
      <w:rPr>
        <w:i/>
        <w:sz w:val="18"/>
        <w:szCs w:val="18"/>
      </w:rPr>
      <w:t>Partners include: Arizona Department of Health Services, The Child Care Alliance of Los Angeles, Child Care Aware of Kansas, Child Care Aware of Missouri, Early Learning Coalition of Miami-Dade/Monroe,</w:t>
    </w:r>
    <w:r w:rsidRPr="00EF5976">
      <w:rPr>
        <w:i/>
        <w:sz w:val="18"/>
        <w:szCs w:val="18"/>
      </w:rPr>
      <w:t xml:space="preserve"> </w:t>
    </w:r>
    <w:r>
      <w:rPr>
        <w:i/>
        <w:sz w:val="18"/>
        <w:szCs w:val="18"/>
      </w:rPr>
      <w:t>G</w:t>
    </w:r>
    <w:r w:rsidRPr="007C7CB0">
      <w:rPr>
        <w:i/>
        <w:color w:val="000000"/>
        <w:sz w:val="18"/>
        <w:szCs w:val="18"/>
      </w:rPr>
      <w:t>retchen Swanson Center for Nutrition</w:t>
    </w:r>
  </w:p>
  <w:p w:rsidR="00CD66F5" w:rsidRPr="007C7CB0" w:rsidRDefault="00CD66F5" w:rsidP="00F612E1">
    <w:pPr>
      <w:pStyle w:val="Footer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 Indiana Association of Child Care Resource and Refferal, Kentucky Cabinet for Health and Family Services, New Jersey Department of Health, and Virginia Early Childhood Foundation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6F5" w:rsidRDefault="00CD66F5" w:rsidP="008D7C07">
      <w:pPr>
        <w:spacing w:after="0" w:line="240" w:lineRule="auto"/>
      </w:pPr>
      <w:r>
        <w:separator/>
      </w:r>
    </w:p>
  </w:footnote>
  <w:footnote w:type="continuationSeparator" w:id="0">
    <w:p w:rsidR="00CD66F5" w:rsidRDefault="00CD66F5" w:rsidP="008D7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F5" w:rsidRDefault="00CD66F5" w:rsidP="0074425A">
    <w:pPr>
      <w:spacing w:after="0" w:line="240" w:lineRule="auto"/>
      <w:ind w:right="-1440"/>
      <w:rPr>
        <w:b/>
        <w:sz w:val="28"/>
        <w:szCs w:val="28"/>
      </w:rPr>
    </w:pPr>
    <w:r>
      <w:rPr>
        <w:b/>
        <w:noProof/>
        <w:color w:val="002060"/>
        <w:sz w:val="26"/>
        <w:szCs w:val="26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114300</wp:posOffset>
          </wp:positionV>
          <wp:extent cx="765810" cy="548640"/>
          <wp:effectExtent l="19050" t="0" r="0" b="0"/>
          <wp:wrapNone/>
          <wp:docPr id="4" name="Picture 1" descr="C:\Users\ec0005\AppData\Local\Microsoft\Windows\Temporary Internet Files\Content.Outlook\LMRJ0BGX\CDC_logo_electronic_color_na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c0005\AppData\Local\Microsoft\Windows\Temporary Internet Files\Content.Outlook\LMRJ0BGX\CDC_logo_electronic_color_nam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002060"/>
        <w:sz w:val="26"/>
        <w:szCs w:val="26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4742180</wp:posOffset>
          </wp:positionH>
          <wp:positionV relativeFrom="paragraph">
            <wp:posOffset>64770</wp:posOffset>
          </wp:positionV>
          <wp:extent cx="1266825" cy="556260"/>
          <wp:effectExtent l="19050" t="0" r="9525" b="0"/>
          <wp:wrapNone/>
          <wp:docPr id="3" name="Picture 3" descr="Nemour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mours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21249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8"/>
        <w:szCs w:val="28"/>
      </w:rPr>
      <w:t xml:space="preserve">                                     </w:t>
    </w:r>
  </w:p>
  <w:p w:rsidR="00CD66F5" w:rsidRDefault="00CD66F5" w:rsidP="00697D79">
    <w:pPr>
      <w:spacing w:after="0" w:line="240" w:lineRule="auto"/>
      <w:ind w:left="1800" w:right="1800"/>
      <w:jc w:val="center"/>
      <w:rPr>
        <w:rFonts w:ascii="Arial Narrow" w:hAnsi="Arial Narrow"/>
        <w:b/>
        <w:i/>
        <w:sz w:val="30"/>
        <w:szCs w:val="30"/>
      </w:rPr>
    </w:pPr>
    <w:r w:rsidRPr="00EF5976">
      <w:rPr>
        <w:rFonts w:ascii="Arial Narrow" w:hAnsi="Arial Narrow"/>
        <w:b/>
        <w:i/>
        <w:sz w:val="30"/>
        <w:szCs w:val="30"/>
      </w:rPr>
      <w:t>National</w:t>
    </w:r>
    <w:r w:rsidRPr="00EF5976">
      <w:rPr>
        <w:rFonts w:ascii="Arial Narrow" w:hAnsi="Arial Narrow"/>
        <w:b/>
        <w:sz w:val="30"/>
        <w:szCs w:val="30"/>
      </w:rPr>
      <w:t xml:space="preserve"> </w:t>
    </w:r>
    <w:r w:rsidRPr="00EF5976">
      <w:rPr>
        <w:rFonts w:ascii="Arial Narrow" w:hAnsi="Arial Narrow"/>
        <w:b/>
        <w:i/>
        <w:sz w:val="30"/>
        <w:szCs w:val="30"/>
      </w:rPr>
      <w:t>Early Care and Education Learning Collaboratives (ECELC) Project</w:t>
    </w:r>
  </w:p>
  <w:p w:rsidR="00CD66F5" w:rsidRPr="00EF5976" w:rsidRDefault="0044447B" w:rsidP="00EF5976">
    <w:pPr>
      <w:spacing w:after="0" w:line="240" w:lineRule="auto"/>
      <w:jc w:val="center"/>
      <w:rPr>
        <w:rFonts w:ascii="Arial Narrow" w:hAnsi="Arial Narrow"/>
        <w:b/>
        <w:i/>
        <w:sz w:val="30"/>
        <w:szCs w:val="30"/>
      </w:rPr>
    </w:pPr>
    <w:r w:rsidRPr="0044447B">
      <w:rPr>
        <w:rFonts w:ascii="Arial Narrow" w:hAnsi="Arial Narrow"/>
        <w:b/>
        <w:i/>
        <w:sz w:val="30"/>
        <w:szCs w:val="30"/>
      </w:rPr>
      <w:pict>
        <v:rect id="_x0000_i1025" style="width:460.05pt;height:1.6pt" o:hrpct="983" o:hralign="center" o:hrstd="t" o:hrnoshade="t" o:hr="t" fillcolor="black" stroked="f"/>
      </w:pict>
    </w:r>
  </w:p>
  <w:p w:rsidR="00CD66F5" w:rsidRPr="00697D79" w:rsidRDefault="00CD66F5" w:rsidP="00697D79">
    <w:pPr>
      <w:spacing w:after="0" w:line="240" w:lineRule="auto"/>
      <w:ind w:left="1800" w:right="1980"/>
      <w:jc w:val="center"/>
      <w:rPr>
        <w:rFonts w:ascii="Arial Narrow" w:hAnsi="Arial Narrow"/>
        <w:b/>
        <w:i/>
        <w:sz w:val="12"/>
        <w:szCs w:val="12"/>
      </w:rPr>
    </w:pPr>
  </w:p>
  <w:p w:rsidR="00CD66F5" w:rsidRPr="00C40F54" w:rsidRDefault="00CD66F5" w:rsidP="00697D79">
    <w:pPr>
      <w:spacing w:after="0" w:line="240" w:lineRule="auto"/>
      <w:ind w:left="1800" w:right="1980"/>
      <w:rPr>
        <w:rFonts w:ascii="Arial Narrow" w:hAnsi="Arial Narrow"/>
        <w:b/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D3425"/>
    <w:multiLevelType w:val="hybridMultilevel"/>
    <w:tmpl w:val="6BD07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01638"/>
    <w:multiLevelType w:val="hybridMultilevel"/>
    <w:tmpl w:val="298C2510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>
    <w:nsid w:val="7FA53FFB"/>
    <w:multiLevelType w:val="hybridMultilevel"/>
    <w:tmpl w:val="8856D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A53A4"/>
    <w:rsid w:val="00003B2A"/>
    <w:rsid w:val="00056E55"/>
    <w:rsid w:val="00092C5C"/>
    <w:rsid w:val="00097187"/>
    <w:rsid w:val="000A3442"/>
    <w:rsid w:val="000B1FB3"/>
    <w:rsid w:val="000B70EE"/>
    <w:rsid w:val="000C5E21"/>
    <w:rsid w:val="000C6D59"/>
    <w:rsid w:val="000D2934"/>
    <w:rsid w:val="000D459E"/>
    <w:rsid w:val="00142AD4"/>
    <w:rsid w:val="001938F8"/>
    <w:rsid w:val="001B7AEA"/>
    <w:rsid w:val="001C2AB6"/>
    <w:rsid w:val="001C585A"/>
    <w:rsid w:val="00206651"/>
    <w:rsid w:val="0021492D"/>
    <w:rsid w:val="00217AFE"/>
    <w:rsid w:val="0023060B"/>
    <w:rsid w:val="002501EA"/>
    <w:rsid w:val="00256C48"/>
    <w:rsid w:val="0028489C"/>
    <w:rsid w:val="00287A32"/>
    <w:rsid w:val="0029695C"/>
    <w:rsid w:val="002A235B"/>
    <w:rsid w:val="002A2ABD"/>
    <w:rsid w:val="002C025C"/>
    <w:rsid w:val="002C6B0E"/>
    <w:rsid w:val="002C6D87"/>
    <w:rsid w:val="00302BCA"/>
    <w:rsid w:val="00386F18"/>
    <w:rsid w:val="00393C20"/>
    <w:rsid w:val="003A53A4"/>
    <w:rsid w:val="003C5FCB"/>
    <w:rsid w:val="003D2725"/>
    <w:rsid w:val="00402C3F"/>
    <w:rsid w:val="00405907"/>
    <w:rsid w:val="004332D7"/>
    <w:rsid w:val="00434F03"/>
    <w:rsid w:val="0044447B"/>
    <w:rsid w:val="0048292A"/>
    <w:rsid w:val="004845BC"/>
    <w:rsid w:val="004A69BE"/>
    <w:rsid w:val="004A794A"/>
    <w:rsid w:val="004B78FF"/>
    <w:rsid w:val="004D25C8"/>
    <w:rsid w:val="004D6575"/>
    <w:rsid w:val="004E6ABB"/>
    <w:rsid w:val="004F353F"/>
    <w:rsid w:val="005005D8"/>
    <w:rsid w:val="00503042"/>
    <w:rsid w:val="005377AB"/>
    <w:rsid w:val="0054539F"/>
    <w:rsid w:val="0058481B"/>
    <w:rsid w:val="00592A1D"/>
    <w:rsid w:val="005E240B"/>
    <w:rsid w:val="00600EF7"/>
    <w:rsid w:val="006967A9"/>
    <w:rsid w:val="00697D79"/>
    <w:rsid w:val="006B3271"/>
    <w:rsid w:val="006B549F"/>
    <w:rsid w:val="006D109D"/>
    <w:rsid w:val="006D76E6"/>
    <w:rsid w:val="006F3938"/>
    <w:rsid w:val="007039CD"/>
    <w:rsid w:val="0074425A"/>
    <w:rsid w:val="00752075"/>
    <w:rsid w:val="0075719A"/>
    <w:rsid w:val="0077336A"/>
    <w:rsid w:val="007824D1"/>
    <w:rsid w:val="0079205E"/>
    <w:rsid w:val="007A1166"/>
    <w:rsid w:val="007A355C"/>
    <w:rsid w:val="007C7CB0"/>
    <w:rsid w:val="007D040B"/>
    <w:rsid w:val="007F4E26"/>
    <w:rsid w:val="008019BA"/>
    <w:rsid w:val="00806BFD"/>
    <w:rsid w:val="0081379D"/>
    <w:rsid w:val="00825C12"/>
    <w:rsid w:val="00826FE3"/>
    <w:rsid w:val="00831D4E"/>
    <w:rsid w:val="00844DE7"/>
    <w:rsid w:val="00850F82"/>
    <w:rsid w:val="00857CB1"/>
    <w:rsid w:val="0086508B"/>
    <w:rsid w:val="00872AA9"/>
    <w:rsid w:val="00881B1B"/>
    <w:rsid w:val="008963CF"/>
    <w:rsid w:val="008B1CB7"/>
    <w:rsid w:val="008C5ADC"/>
    <w:rsid w:val="008D12E6"/>
    <w:rsid w:val="008D7C07"/>
    <w:rsid w:val="008F5196"/>
    <w:rsid w:val="009310A4"/>
    <w:rsid w:val="009407BA"/>
    <w:rsid w:val="009422DF"/>
    <w:rsid w:val="009461D2"/>
    <w:rsid w:val="009533DD"/>
    <w:rsid w:val="00995EC2"/>
    <w:rsid w:val="009966EF"/>
    <w:rsid w:val="009F59EA"/>
    <w:rsid w:val="009F68B4"/>
    <w:rsid w:val="00A040FE"/>
    <w:rsid w:val="00A20C1F"/>
    <w:rsid w:val="00A579AC"/>
    <w:rsid w:val="00A71DF6"/>
    <w:rsid w:val="00A81DF1"/>
    <w:rsid w:val="00A85CFB"/>
    <w:rsid w:val="00AB4847"/>
    <w:rsid w:val="00AE14A8"/>
    <w:rsid w:val="00AF7250"/>
    <w:rsid w:val="00B0763F"/>
    <w:rsid w:val="00B15BF6"/>
    <w:rsid w:val="00B2534B"/>
    <w:rsid w:val="00B32DE7"/>
    <w:rsid w:val="00B36FF0"/>
    <w:rsid w:val="00B57EFB"/>
    <w:rsid w:val="00B61176"/>
    <w:rsid w:val="00B71B55"/>
    <w:rsid w:val="00B90AA3"/>
    <w:rsid w:val="00B96E9B"/>
    <w:rsid w:val="00BA4C09"/>
    <w:rsid w:val="00BA650F"/>
    <w:rsid w:val="00BB1E70"/>
    <w:rsid w:val="00C00598"/>
    <w:rsid w:val="00C163BC"/>
    <w:rsid w:val="00C20A03"/>
    <w:rsid w:val="00C32CF7"/>
    <w:rsid w:val="00C40F54"/>
    <w:rsid w:val="00C66A90"/>
    <w:rsid w:val="00C70769"/>
    <w:rsid w:val="00C80D30"/>
    <w:rsid w:val="00C85699"/>
    <w:rsid w:val="00CD66F5"/>
    <w:rsid w:val="00D26C79"/>
    <w:rsid w:val="00D93503"/>
    <w:rsid w:val="00DB3B9E"/>
    <w:rsid w:val="00DC6127"/>
    <w:rsid w:val="00E11C57"/>
    <w:rsid w:val="00E24A9A"/>
    <w:rsid w:val="00E67081"/>
    <w:rsid w:val="00E76D81"/>
    <w:rsid w:val="00E81081"/>
    <w:rsid w:val="00E91308"/>
    <w:rsid w:val="00EF4585"/>
    <w:rsid w:val="00EF5976"/>
    <w:rsid w:val="00F24070"/>
    <w:rsid w:val="00F274F4"/>
    <w:rsid w:val="00F314DE"/>
    <w:rsid w:val="00F47CBD"/>
    <w:rsid w:val="00F56754"/>
    <w:rsid w:val="00F612E1"/>
    <w:rsid w:val="00F80306"/>
    <w:rsid w:val="00F81BA3"/>
    <w:rsid w:val="00FA161D"/>
    <w:rsid w:val="00FA46F8"/>
    <w:rsid w:val="00FC5777"/>
    <w:rsid w:val="00FD454C"/>
    <w:rsid w:val="00FE0BDF"/>
    <w:rsid w:val="00FE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CB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3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7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C07"/>
  </w:style>
  <w:style w:type="paragraph" w:styleId="Footer">
    <w:name w:val="footer"/>
    <w:basedOn w:val="Normal"/>
    <w:link w:val="FooterChar"/>
    <w:uiPriority w:val="99"/>
    <w:semiHidden/>
    <w:unhideWhenUsed/>
    <w:rsid w:val="008D7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7C07"/>
  </w:style>
  <w:style w:type="character" w:styleId="Hyperlink">
    <w:name w:val="Hyperlink"/>
    <w:basedOn w:val="DefaultParagraphFont"/>
    <w:uiPriority w:val="99"/>
    <w:unhideWhenUsed/>
    <w:rsid w:val="000971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7187"/>
    <w:pPr>
      <w:ind w:left="720"/>
      <w:contextualSpacing/>
    </w:pPr>
  </w:style>
  <w:style w:type="paragraph" w:customStyle="1" w:styleId="Default">
    <w:name w:val="Default"/>
    <w:rsid w:val="00C20A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2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3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3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35B"/>
    <w:rPr>
      <w:b/>
      <w:bCs/>
    </w:rPr>
  </w:style>
  <w:style w:type="paragraph" w:styleId="EndnoteText">
    <w:name w:val="endnote text"/>
    <w:basedOn w:val="Normal"/>
    <w:link w:val="EndnoteTextChar"/>
    <w:rsid w:val="00AF725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F7250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rsid w:val="00AF7250"/>
    <w:rPr>
      <w:vertAlign w:val="superscript"/>
    </w:rPr>
  </w:style>
  <w:style w:type="paragraph" w:styleId="Revision">
    <w:name w:val="Revision"/>
    <w:hidden/>
    <w:uiPriority w:val="99"/>
    <w:semiHidden/>
    <w:rsid w:val="00B32DE7"/>
    <w:rPr>
      <w:sz w:val="22"/>
      <w:szCs w:val="22"/>
    </w:rPr>
  </w:style>
  <w:style w:type="table" w:styleId="TableGrid">
    <w:name w:val="Table Grid"/>
    <w:basedOn w:val="TableNormal"/>
    <w:uiPriority w:val="59"/>
    <w:rsid w:val="00F81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.shuell@nemour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CDCEC-7002-4D03-9F6C-D4AB46BA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Nemours</Company>
  <LinksUpToDate>false</LinksUpToDate>
  <CharactersWithSpaces>4265</CharactersWithSpaces>
  <SharedDoc>false</SharedDoc>
  <HLinks>
    <vt:vector size="6" baseType="variant">
      <vt:variant>
        <vt:i4>983155</vt:i4>
      </vt:variant>
      <vt:variant>
        <vt:i4>0</vt:i4>
      </vt:variant>
      <vt:variant>
        <vt:i4>0</vt:i4>
      </vt:variant>
      <vt:variant>
        <vt:i4>5</vt:i4>
      </vt:variant>
      <vt:variant>
        <vt:lpwstr>mailto:julie.shuell@nemours.org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Schaffer</dc:creator>
  <cp:lastModifiedBy>Cindy Caldwell</cp:lastModifiedBy>
  <cp:revision>2</cp:revision>
  <cp:lastPrinted>2014-08-26T19:44:00Z</cp:lastPrinted>
  <dcterms:created xsi:type="dcterms:W3CDTF">2015-06-15T18:25:00Z</dcterms:created>
  <dcterms:modified xsi:type="dcterms:W3CDTF">2015-06-15T18:25:00Z</dcterms:modified>
</cp:coreProperties>
</file>